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80" w:rsidRDefault="003A5080" w:rsidP="003A5080">
      <w:pPr>
        <w:jc w:val="center"/>
        <w:rPr>
          <w:rFonts w:ascii="Arial" w:eastAsia="Arial" w:hAnsi="Arial" w:cs="Arial"/>
          <w:b/>
          <w:bCs/>
          <w:color w:val="008000"/>
          <w:u w:val="single"/>
        </w:rPr>
      </w:pPr>
      <w:r>
        <w:rPr>
          <w:rFonts w:ascii="Arial" w:eastAsia="Arial" w:hAnsi="Arial" w:cs="Arial"/>
          <w:b/>
          <w:bCs/>
          <w:color w:val="008000"/>
          <w:u w:val="single"/>
        </w:rPr>
        <w:t>31</w:t>
      </w:r>
      <w:r w:rsidRPr="004167F1">
        <w:rPr>
          <w:rFonts w:ascii="Arial" w:eastAsia="Arial" w:hAnsi="Arial" w:cs="Arial"/>
          <w:b/>
          <w:bCs/>
          <w:color w:val="008000"/>
          <w:u w:val="single"/>
          <w:vertAlign w:val="superscript"/>
        </w:rPr>
        <w:t>st</w:t>
      </w:r>
      <w:r>
        <w:rPr>
          <w:rFonts w:ascii="Arial" w:eastAsia="Arial" w:hAnsi="Arial" w:cs="Arial"/>
          <w:b/>
          <w:bCs/>
          <w:color w:val="008000"/>
          <w:u w:val="single"/>
        </w:rPr>
        <w:t xml:space="preserve"> Sunday in Ordinary Time – A</w:t>
      </w:r>
    </w:p>
    <w:p w:rsidR="003A5080" w:rsidRPr="0080545C" w:rsidRDefault="003A5080" w:rsidP="003A5080">
      <w:pPr>
        <w:jc w:val="center"/>
        <w:rPr>
          <w:rFonts w:ascii="Harlow Solid Italic" w:hAnsi="Harlow Solid Italic"/>
          <w:color w:val="C00000"/>
          <w:sz w:val="40"/>
          <w:szCs w:val="40"/>
        </w:rPr>
      </w:pPr>
      <w:r w:rsidRPr="0080545C">
        <w:rPr>
          <w:rFonts w:ascii="Harlow Solid Italic" w:hAnsi="Harlow Solid Italic"/>
          <w:color w:val="C00000"/>
          <w:sz w:val="40"/>
          <w:szCs w:val="40"/>
        </w:rPr>
        <w:t>Solemnity of All Saints</w:t>
      </w:r>
    </w:p>
    <w:p w:rsidR="003A5080" w:rsidRDefault="003A5080" w:rsidP="003A5080">
      <w:pPr>
        <w:jc w:val="center"/>
        <w:rPr>
          <w:rFonts w:ascii="Bookman Old Style" w:eastAsia="Arial" w:hAnsi="Bookman Old Style" w:cs="Arial"/>
          <w:b/>
          <w:bCs/>
          <w:color w:val="000000"/>
        </w:rPr>
      </w:pPr>
      <w:r>
        <w:rPr>
          <w:rFonts w:ascii="Bookman Old Style" w:eastAsia="Arial" w:hAnsi="Bookman Old Style" w:cs="Arial"/>
          <w:b/>
          <w:bCs/>
          <w:color w:val="000000"/>
        </w:rPr>
        <w:t>November 1</w:t>
      </w:r>
      <w:r w:rsidRPr="00A06BF6">
        <w:rPr>
          <w:rFonts w:ascii="Bookman Old Style" w:eastAsia="Arial" w:hAnsi="Bookman Old Style" w:cs="Arial"/>
          <w:b/>
          <w:bCs/>
          <w:color w:val="000000"/>
        </w:rPr>
        <w:t>, 2020</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In his book </w:t>
      </w:r>
      <w:r w:rsidRPr="005C3F29">
        <w:rPr>
          <w:rFonts w:ascii="Bookman Old Style" w:eastAsia="Arial" w:hAnsi="Bookman Old Style" w:cs="Arial"/>
          <w:bCs/>
          <w:i/>
          <w:color w:val="000000"/>
          <w:sz w:val="22"/>
          <w:szCs w:val="22"/>
        </w:rPr>
        <w:t>The Power and the Glory</w:t>
      </w:r>
      <w:r>
        <w:rPr>
          <w:rFonts w:ascii="Bookman Old Style" w:eastAsia="Arial" w:hAnsi="Bookman Old Style" w:cs="Arial"/>
          <w:bCs/>
          <w:color w:val="000000"/>
          <w:sz w:val="22"/>
          <w:szCs w:val="22"/>
        </w:rPr>
        <w:t>, novelist Graham Greene describes a priest who ministered to his people in an era of religious persecution in Mexico.</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The danger of </w:t>
      </w:r>
      <w:proofErr w:type="gramStart"/>
      <w:r>
        <w:rPr>
          <w:rFonts w:ascii="Bookman Old Style" w:eastAsia="Arial" w:hAnsi="Bookman Old Style" w:cs="Arial"/>
          <w:bCs/>
          <w:color w:val="000000"/>
          <w:sz w:val="22"/>
          <w:szCs w:val="22"/>
        </w:rPr>
        <w:t>being caught</w:t>
      </w:r>
      <w:proofErr w:type="gramEnd"/>
      <w:r>
        <w:rPr>
          <w:rFonts w:ascii="Bookman Old Style" w:eastAsia="Arial" w:hAnsi="Bookman Old Style" w:cs="Arial"/>
          <w:bCs/>
          <w:color w:val="000000"/>
          <w:sz w:val="22"/>
          <w:szCs w:val="22"/>
        </w:rPr>
        <w:t xml:space="preserve"> by the police and the exhausting work of serving his people finally took their toll.  The priest turned to drink and became an alcoholic.  Eventually he </w:t>
      </w:r>
      <w:proofErr w:type="gramStart"/>
      <w:r>
        <w:rPr>
          <w:rFonts w:ascii="Bookman Old Style" w:eastAsia="Arial" w:hAnsi="Bookman Old Style" w:cs="Arial"/>
          <w:bCs/>
          <w:color w:val="000000"/>
          <w:sz w:val="22"/>
          <w:szCs w:val="22"/>
        </w:rPr>
        <w:t>was caught</w:t>
      </w:r>
      <w:proofErr w:type="gramEnd"/>
      <w:r>
        <w:rPr>
          <w:rFonts w:ascii="Bookman Old Style" w:eastAsia="Arial" w:hAnsi="Bookman Old Style" w:cs="Arial"/>
          <w:bCs/>
          <w:color w:val="000000"/>
          <w:sz w:val="22"/>
          <w:szCs w:val="22"/>
        </w:rPr>
        <w:t>, sentenced to die, and put into prison to wait execution.</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When he awoke on the morning of his death, he had an empty brandy flask in his hand.  He tried to recite an act of contrition, but he was too confused to remember the words.</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Suddenly he caught sight of his own shadow on the wall of the prison cell.  He just sat there, staring at it.</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As he did, he realized it was foolish of him to think that he was strong enough to remain behind and minister to his people.  He should have fled.  It was stupid to stay behind.  It was a terrible mistake.</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Tears began to form in his eyes and roll down his cheeks.  He was not crying because he was afraid to die.  He was crying because he had to go to God so empty handed.</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“It seemed to him at that moment that it would have been easy to have been a saint.  It would only have needed a little self-restraint and a little courage. He felt like someone who had missed happiness by seconds at the appointed place.  He knew now that at the end there was only one thing that counted – to be a saint.” </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The last line of this scene is especially moving and bears repeating: </w:t>
      </w:r>
      <w:r>
        <w:rPr>
          <w:rFonts w:ascii="Bookman Old Style" w:eastAsia="Arial" w:hAnsi="Bookman Old Style" w:cs="Arial"/>
          <w:bCs/>
          <w:color w:val="000000"/>
          <w:sz w:val="22"/>
          <w:szCs w:val="22"/>
        </w:rPr>
        <w:lastRenderedPageBreak/>
        <w:t>“He knew now that at the end there was only one thing that counted – to be a saint.”</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What does the word </w:t>
      </w:r>
      <w:r w:rsidRPr="000A6456">
        <w:rPr>
          <w:rFonts w:ascii="Bookman Old Style" w:eastAsia="Arial" w:hAnsi="Bookman Old Style" w:cs="Arial"/>
          <w:bCs/>
          <w:i/>
          <w:color w:val="000000"/>
          <w:sz w:val="22"/>
          <w:szCs w:val="22"/>
        </w:rPr>
        <w:t>saint</w:t>
      </w:r>
      <w:r>
        <w:rPr>
          <w:rFonts w:ascii="Bookman Old Style" w:eastAsia="Arial" w:hAnsi="Bookman Old Style" w:cs="Arial"/>
          <w:bCs/>
          <w:color w:val="000000"/>
          <w:sz w:val="22"/>
          <w:szCs w:val="22"/>
        </w:rPr>
        <w:t xml:space="preserve"> mean?</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In the strict sense, the word </w:t>
      </w:r>
      <w:proofErr w:type="gramStart"/>
      <w:r>
        <w:rPr>
          <w:rFonts w:ascii="Bookman Old Style" w:eastAsia="Arial" w:hAnsi="Bookman Old Style" w:cs="Arial"/>
          <w:bCs/>
          <w:color w:val="000000"/>
          <w:sz w:val="22"/>
          <w:szCs w:val="22"/>
        </w:rPr>
        <w:t>is reserved</w:t>
      </w:r>
      <w:proofErr w:type="gramEnd"/>
      <w:r>
        <w:rPr>
          <w:rFonts w:ascii="Bookman Old Style" w:eastAsia="Arial" w:hAnsi="Bookman Old Style" w:cs="Arial"/>
          <w:bCs/>
          <w:color w:val="000000"/>
          <w:sz w:val="22"/>
          <w:szCs w:val="22"/>
        </w:rPr>
        <w:t xml:space="preserve"> for people who have lived such exemplary Christian lives that the church declares them to be in heaven.  The church’s official list of saints includes about 2,500 people.</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Let me share with you an excerpt from a letter of one such person.  It is from a letter of St. Peter </w:t>
      </w:r>
      <w:proofErr w:type="spellStart"/>
      <w:r>
        <w:rPr>
          <w:rFonts w:ascii="Bookman Old Style" w:eastAsia="Arial" w:hAnsi="Bookman Old Style" w:cs="Arial"/>
          <w:bCs/>
          <w:color w:val="000000"/>
          <w:sz w:val="22"/>
          <w:szCs w:val="22"/>
        </w:rPr>
        <w:t>Claver</w:t>
      </w:r>
      <w:proofErr w:type="spellEnd"/>
      <w:r>
        <w:rPr>
          <w:rFonts w:ascii="Bookman Old Style" w:eastAsia="Arial" w:hAnsi="Bookman Old Style" w:cs="Arial"/>
          <w:bCs/>
          <w:color w:val="000000"/>
          <w:sz w:val="22"/>
          <w:szCs w:val="22"/>
        </w:rPr>
        <w:t>, who worked among the black slaves in South African in the 17</w:t>
      </w:r>
      <w:r w:rsidRPr="000A6456">
        <w:rPr>
          <w:rFonts w:ascii="Bookman Old Style" w:eastAsia="Arial" w:hAnsi="Bookman Old Style" w:cs="Arial"/>
          <w:bCs/>
          <w:color w:val="000000"/>
          <w:sz w:val="22"/>
          <w:szCs w:val="22"/>
          <w:vertAlign w:val="superscript"/>
        </w:rPr>
        <w:t>th</w:t>
      </w:r>
      <w:r>
        <w:rPr>
          <w:rFonts w:ascii="Bookman Old Style" w:eastAsia="Arial" w:hAnsi="Bookman Old Style" w:cs="Arial"/>
          <w:bCs/>
          <w:color w:val="000000"/>
          <w:sz w:val="22"/>
          <w:szCs w:val="22"/>
        </w:rPr>
        <w:t xml:space="preserve"> century.  It reads:</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“Yesterday … feast of the Holy Trinity, a great number of black people who had been seized along the African rivers were put ashore from one very large vessel.  We hurried out with two baskets full of oranges, lemons, sweet biscuits and all sorts of things….</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“We had to force our way through the crowds till we reached the sick.  There was a great number of them, lying on damp earth, or rather mud … They were naked without any covering at all.</w:t>
      </w:r>
      <w:bookmarkStart w:id="0" w:name="_GoBack"/>
      <w:bookmarkEnd w:id="0"/>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“We took off our cloaks, went to a store, brought from there all the wood that was available and put it together to make a platform; then, forcing a way through the guards, we eventually managed to carry all the sick to it …</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“You should have seen the expression of gratitude in their eyes!</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“In this way we spoke to them, not with words but with deeds … any other form of address would have been pointless.  Then we sat or knelt beside them and washed their faces and bodies.”</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St. Peter Claves </w:t>
      </w:r>
      <w:proofErr w:type="gramStart"/>
      <w:r>
        <w:rPr>
          <w:rFonts w:ascii="Bookman Old Style" w:eastAsia="Arial" w:hAnsi="Bookman Old Style" w:cs="Arial"/>
          <w:bCs/>
          <w:color w:val="000000"/>
          <w:sz w:val="22"/>
          <w:szCs w:val="22"/>
        </w:rPr>
        <w:t>wasn’t</w:t>
      </w:r>
      <w:proofErr w:type="gramEnd"/>
      <w:r>
        <w:rPr>
          <w:rFonts w:ascii="Bookman Old Style" w:eastAsia="Arial" w:hAnsi="Bookman Old Style" w:cs="Arial"/>
          <w:bCs/>
          <w:color w:val="000000"/>
          <w:sz w:val="22"/>
          <w:szCs w:val="22"/>
        </w:rPr>
        <w:t xml:space="preserve"> a martyr.  He </w:t>
      </w:r>
      <w:proofErr w:type="gramStart"/>
      <w:r>
        <w:rPr>
          <w:rFonts w:ascii="Bookman Old Style" w:eastAsia="Arial" w:hAnsi="Bookman Old Style" w:cs="Arial"/>
          <w:bCs/>
          <w:color w:val="000000"/>
          <w:sz w:val="22"/>
          <w:szCs w:val="22"/>
        </w:rPr>
        <w:t>didn’t</w:t>
      </w:r>
      <w:proofErr w:type="gramEnd"/>
      <w:r>
        <w:rPr>
          <w:rFonts w:ascii="Bookman Old Style" w:eastAsia="Arial" w:hAnsi="Bookman Old Style" w:cs="Arial"/>
          <w:bCs/>
          <w:color w:val="000000"/>
          <w:sz w:val="22"/>
          <w:szCs w:val="22"/>
        </w:rPr>
        <w:t xml:space="preserve"> spend his days in prayer. He </w:t>
      </w:r>
      <w:proofErr w:type="gramStart"/>
      <w:r>
        <w:rPr>
          <w:rFonts w:ascii="Bookman Old Style" w:eastAsia="Arial" w:hAnsi="Bookman Old Style" w:cs="Arial"/>
          <w:bCs/>
          <w:color w:val="000000"/>
          <w:sz w:val="22"/>
          <w:szCs w:val="22"/>
        </w:rPr>
        <w:t>didn’t</w:t>
      </w:r>
      <w:proofErr w:type="gramEnd"/>
      <w:r>
        <w:rPr>
          <w:rFonts w:ascii="Bookman Old Style" w:eastAsia="Arial" w:hAnsi="Bookman Old Style" w:cs="Arial"/>
          <w:bCs/>
          <w:color w:val="000000"/>
          <w:sz w:val="22"/>
          <w:szCs w:val="22"/>
        </w:rPr>
        <w:t xml:space="preserve"> spend his night doing penance.  He </w:t>
      </w:r>
      <w:proofErr w:type="gramStart"/>
      <w:r>
        <w:rPr>
          <w:rFonts w:ascii="Bookman Old Style" w:eastAsia="Arial" w:hAnsi="Bookman Old Style" w:cs="Arial"/>
          <w:bCs/>
          <w:color w:val="000000"/>
          <w:sz w:val="22"/>
          <w:szCs w:val="22"/>
        </w:rPr>
        <w:t>didn’t</w:t>
      </w:r>
      <w:proofErr w:type="gramEnd"/>
      <w:r>
        <w:rPr>
          <w:rFonts w:ascii="Bookman Old Style" w:eastAsia="Arial" w:hAnsi="Bookman Old Style" w:cs="Arial"/>
          <w:bCs/>
          <w:color w:val="000000"/>
          <w:sz w:val="22"/>
          <w:szCs w:val="22"/>
        </w:rPr>
        <w:t xml:space="preserve"> have any visions.  He </w:t>
      </w:r>
      <w:proofErr w:type="gramStart"/>
      <w:r>
        <w:rPr>
          <w:rFonts w:ascii="Bookman Old Style" w:eastAsia="Arial" w:hAnsi="Bookman Old Style" w:cs="Arial"/>
          <w:bCs/>
          <w:color w:val="000000"/>
          <w:sz w:val="22"/>
          <w:szCs w:val="22"/>
        </w:rPr>
        <w:t>didn’t</w:t>
      </w:r>
      <w:proofErr w:type="gramEnd"/>
      <w:r>
        <w:rPr>
          <w:rFonts w:ascii="Bookman Old Style" w:eastAsia="Arial" w:hAnsi="Bookman Old Style" w:cs="Arial"/>
          <w:bCs/>
          <w:color w:val="000000"/>
          <w:sz w:val="22"/>
          <w:szCs w:val="22"/>
        </w:rPr>
        <w:t xml:space="preserve"> write any great books on religion.  He was </w:t>
      </w:r>
      <w:r>
        <w:rPr>
          <w:rFonts w:ascii="Bookman Old Style" w:eastAsia="Arial" w:hAnsi="Bookman Old Style" w:cs="Arial"/>
          <w:bCs/>
          <w:color w:val="000000"/>
          <w:sz w:val="22"/>
          <w:szCs w:val="22"/>
        </w:rPr>
        <w:lastRenderedPageBreak/>
        <w:t>an ordinary person like you and me.</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The purpose of All Saints is to honor people like Peter </w:t>
      </w:r>
      <w:proofErr w:type="spellStart"/>
      <w:r>
        <w:rPr>
          <w:rFonts w:ascii="Bookman Old Style" w:eastAsia="Arial" w:hAnsi="Bookman Old Style" w:cs="Arial"/>
          <w:bCs/>
          <w:color w:val="000000"/>
          <w:sz w:val="22"/>
          <w:szCs w:val="22"/>
        </w:rPr>
        <w:t>Claver</w:t>
      </w:r>
      <w:proofErr w:type="spellEnd"/>
      <w:r>
        <w:rPr>
          <w:rFonts w:ascii="Bookman Old Style" w:eastAsia="Arial" w:hAnsi="Bookman Old Style" w:cs="Arial"/>
          <w:bCs/>
          <w:color w:val="000000"/>
          <w:sz w:val="22"/>
          <w:szCs w:val="22"/>
        </w:rPr>
        <w:t xml:space="preserve"> and to hold them up to us as reminders and as inspirations.</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First, the remind us of our own calling to be saints.  That is, we </w:t>
      </w:r>
      <w:proofErr w:type="gramStart"/>
      <w:r>
        <w:rPr>
          <w:rFonts w:ascii="Bookman Old Style" w:eastAsia="Arial" w:hAnsi="Bookman Old Style" w:cs="Arial"/>
          <w:bCs/>
          <w:color w:val="000000"/>
          <w:sz w:val="22"/>
          <w:szCs w:val="22"/>
        </w:rPr>
        <w:t>are called</w:t>
      </w:r>
      <w:proofErr w:type="gramEnd"/>
      <w:r>
        <w:rPr>
          <w:rFonts w:ascii="Bookman Old Style" w:eastAsia="Arial" w:hAnsi="Bookman Old Style" w:cs="Arial"/>
          <w:bCs/>
          <w:color w:val="000000"/>
          <w:sz w:val="22"/>
          <w:szCs w:val="22"/>
        </w:rPr>
        <w:t xml:space="preserve"> to live our lives in a way that after death we too will merit eternal life.</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Second, saints like Peter </w:t>
      </w:r>
      <w:proofErr w:type="spellStart"/>
      <w:r>
        <w:rPr>
          <w:rFonts w:ascii="Bookman Old Style" w:eastAsia="Arial" w:hAnsi="Bookman Old Style" w:cs="Arial"/>
          <w:bCs/>
          <w:color w:val="000000"/>
          <w:sz w:val="22"/>
          <w:szCs w:val="22"/>
        </w:rPr>
        <w:t>Claver</w:t>
      </w:r>
      <w:proofErr w:type="spellEnd"/>
      <w:r>
        <w:rPr>
          <w:rFonts w:ascii="Bookman Old Style" w:eastAsia="Arial" w:hAnsi="Bookman Old Style" w:cs="Arial"/>
          <w:bCs/>
          <w:color w:val="000000"/>
          <w:sz w:val="22"/>
          <w:szCs w:val="22"/>
        </w:rPr>
        <w:t xml:space="preserve"> inspires us.  They show us that it is possible to be a saint.  It is not something beyond our reach.  Not at all! As the priest in the novel discovered, all it asks of us is “a little self-restraint and a little courage.”</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The priest was right.  Being a saint does not mean imitating someone who </w:t>
      </w:r>
      <w:proofErr w:type="gramStart"/>
      <w:r>
        <w:rPr>
          <w:rFonts w:ascii="Bookman Old Style" w:eastAsia="Arial" w:hAnsi="Bookman Old Style" w:cs="Arial"/>
          <w:bCs/>
          <w:color w:val="000000"/>
          <w:sz w:val="22"/>
          <w:szCs w:val="22"/>
        </w:rPr>
        <w:t>was martyred</w:t>
      </w:r>
      <w:proofErr w:type="gramEnd"/>
      <w:r>
        <w:rPr>
          <w:rFonts w:ascii="Bookman Old Style" w:eastAsia="Arial" w:hAnsi="Bookman Old Style" w:cs="Arial"/>
          <w:bCs/>
          <w:color w:val="000000"/>
          <w:sz w:val="22"/>
          <w:szCs w:val="22"/>
        </w:rPr>
        <w:t xml:space="preserve"> centuries ago.  Being a saint means imitating ordinary people who lived in ordinary times, much like our own.</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It means imitating people who laughed and cried, just as we do.  It means imitating people who sinned and used the Sacrament of Reconciliation, just as we do.  It means imitating people who tried again and sometimes sinned again, just as we do.</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If such people had anything extraordinary about them, it was that they never stopped trying to live each day in a gospel way.</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This is what the Feast of All Saints is </w:t>
      </w:r>
      <w:proofErr w:type="gramStart"/>
      <w:r>
        <w:rPr>
          <w:rFonts w:ascii="Bookman Old Style" w:eastAsia="Arial" w:hAnsi="Bookman Old Style" w:cs="Arial"/>
          <w:bCs/>
          <w:color w:val="000000"/>
          <w:sz w:val="22"/>
          <w:szCs w:val="22"/>
        </w:rPr>
        <w:t>about</w:t>
      </w:r>
      <w:proofErr w:type="gramEnd"/>
      <w:r>
        <w:rPr>
          <w:rFonts w:ascii="Bookman Old Style" w:eastAsia="Arial" w:hAnsi="Bookman Old Style" w:cs="Arial"/>
          <w:bCs/>
          <w:color w:val="000000"/>
          <w:sz w:val="22"/>
          <w:szCs w:val="22"/>
        </w:rPr>
        <w:t xml:space="preserve">.  </w:t>
      </w:r>
      <w:proofErr w:type="gramStart"/>
      <w:r>
        <w:rPr>
          <w:rFonts w:ascii="Bookman Old Style" w:eastAsia="Arial" w:hAnsi="Bookman Old Style" w:cs="Arial"/>
          <w:bCs/>
          <w:color w:val="000000"/>
          <w:sz w:val="22"/>
          <w:szCs w:val="22"/>
        </w:rPr>
        <w:t>It’s</w:t>
      </w:r>
      <w:proofErr w:type="gramEnd"/>
      <w:r>
        <w:rPr>
          <w:rFonts w:ascii="Bookman Old Style" w:eastAsia="Arial" w:hAnsi="Bookman Old Style" w:cs="Arial"/>
          <w:bCs/>
          <w:color w:val="000000"/>
          <w:sz w:val="22"/>
          <w:szCs w:val="22"/>
        </w:rPr>
        <w:t xml:space="preserve"> about honoring people like Peter </w:t>
      </w:r>
      <w:proofErr w:type="spellStart"/>
      <w:r>
        <w:rPr>
          <w:rFonts w:ascii="Bookman Old Style" w:eastAsia="Arial" w:hAnsi="Bookman Old Style" w:cs="Arial"/>
          <w:bCs/>
          <w:color w:val="000000"/>
          <w:sz w:val="22"/>
          <w:szCs w:val="22"/>
        </w:rPr>
        <w:t>Claver</w:t>
      </w:r>
      <w:proofErr w:type="spellEnd"/>
      <w:r>
        <w:rPr>
          <w:rFonts w:ascii="Bookman Old Style" w:eastAsia="Arial" w:hAnsi="Bookman Old Style" w:cs="Arial"/>
          <w:bCs/>
          <w:color w:val="000000"/>
          <w:sz w:val="22"/>
          <w:szCs w:val="22"/>
        </w:rPr>
        <w:t xml:space="preserve">.  </w:t>
      </w:r>
      <w:proofErr w:type="gramStart"/>
      <w:r>
        <w:rPr>
          <w:rFonts w:ascii="Bookman Old Style" w:eastAsia="Arial" w:hAnsi="Bookman Old Style" w:cs="Arial"/>
          <w:bCs/>
          <w:color w:val="000000"/>
          <w:sz w:val="22"/>
          <w:szCs w:val="22"/>
        </w:rPr>
        <w:t>And</w:t>
      </w:r>
      <w:proofErr w:type="gramEnd"/>
      <w:r>
        <w:rPr>
          <w:rFonts w:ascii="Bookman Old Style" w:eastAsia="Arial" w:hAnsi="Bookman Old Style" w:cs="Arial"/>
          <w:bCs/>
          <w:color w:val="000000"/>
          <w:sz w:val="22"/>
          <w:szCs w:val="22"/>
        </w:rPr>
        <w:t xml:space="preserve"> in the course of honoring them, we are reminded of our own calling to be saints and are inspired to pursue that calling.</w:t>
      </w:r>
    </w:p>
    <w:p w:rsidR="003A5080" w:rsidRDefault="003A5080" w:rsidP="003A5080">
      <w:pPr>
        <w:jc w:val="both"/>
        <w:rPr>
          <w:rFonts w:ascii="Bookman Old Style" w:eastAsia="Arial" w:hAnsi="Bookman Old Style" w:cs="Arial"/>
          <w:bCs/>
          <w:color w:val="000000"/>
          <w:sz w:val="22"/>
          <w:szCs w:val="22"/>
        </w:rPr>
      </w:pPr>
    </w:p>
    <w:p w:rsidR="003A5080" w:rsidRDefault="003A5080" w:rsidP="003A5080">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Let us close by paraphrasing the words of poet John </w:t>
      </w:r>
      <w:proofErr w:type="spellStart"/>
      <w:r>
        <w:rPr>
          <w:rFonts w:ascii="Bookman Old Style" w:eastAsia="Arial" w:hAnsi="Bookman Old Style" w:cs="Arial"/>
          <w:bCs/>
          <w:color w:val="000000"/>
          <w:sz w:val="22"/>
          <w:szCs w:val="22"/>
        </w:rPr>
        <w:t>Oxenham</w:t>
      </w:r>
      <w:proofErr w:type="spellEnd"/>
      <w:r>
        <w:rPr>
          <w:rFonts w:ascii="Bookman Old Style" w:eastAsia="Arial" w:hAnsi="Bookman Old Style" w:cs="Arial"/>
          <w:bCs/>
          <w:color w:val="000000"/>
          <w:sz w:val="22"/>
          <w:szCs w:val="22"/>
        </w:rPr>
        <w:t>:</w:t>
      </w:r>
    </w:p>
    <w:p w:rsidR="003A5080" w:rsidRDefault="003A5080" w:rsidP="003A5080">
      <w:pPr>
        <w:jc w:val="both"/>
        <w:rPr>
          <w:rFonts w:ascii="Bookman Old Style" w:eastAsia="Arial" w:hAnsi="Bookman Old Style" w:cs="Arial"/>
          <w:bCs/>
          <w:color w:val="000000"/>
          <w:sz w:val="22"/>
          <w:szCs w:val="22"/>
        </w:rPr>
      </w:pPr>
    </w:p>
    <w:p w:rsidR="003A5080" w:rsidRPr="005D4E5C" w:rsidRDefault="003A5080" w:rsidP="003A5080">
      <w:pPr>
        <w:jc w:val="both"/>
        <w:rPr>
          <w:rFonts w:ascii="Bookman Old Style" w:eastAsia="Arial" w:hAnsi="Bookman Old Style" w:cs="Arial"/>
          <w:bCs/>
          <w:i/>
          <w:color w:val="000000"/>
          <w:sz w:val="22"/>
          <w:szCs w:val="22"/>
        </w:rPr>
      </w:pPr>
      <w:r w:rsidRPr="005D4E5C">
        <w:rPr>
          <w:rFonts w:ascii="Bookman Old Style" w:eastAsia="Arial" w:hAnsi="Bookman Old Style" w:cs="Arial"/>
          <w:bCs/>
          <w:i/>
          <w:color w:val="000000"/>
          <w:sz w:val="22"/>
          <w:szCs w:val="22"/>
        </w:rPr>
        <w:t xml:space="preserve">“To everyone there opens a way – a </w:t>
      </w:r>
      <w:r>
        <w:rPr>
          <w:rFonts w:ascii="Bookman Old Style" w:eastAsia="Arial" w:hAnsi="Bookman Old Style" w:cs="Arial"/>
          <w:bCs/>
          <w:i/>
          <w:color w:val="000000"/>
          <w:sz w:val="22"/>
          <w:szCs w:val="22"/>
        </w:rPr>
        <w:t>high way and a low</w:t>
      </w:r>
      <w:r w:rsidRPr="005D4E5C">
        <w:rPr>
          <w:rFonts w:ascii="Bookman Old Style" w:eastAsia="Arial" w:hAnsi="Bookman Old Style" w:cs="Arial"/>
          <w:bCs/>
          <w:i/>
          <w:color w:val="000000"/>
          <w:sz w:val="22"/>
          <w:szCs w:val="22"/>
        </w:rPr>
        <w:t xml:space="preserve"> way.  The high soul takes the high way; the low soul takes the low way.  </w:t>
      </w:r>
      <w:proofErr w:type="gramStart"/>
      <w:r w:rsidRPr="005D4E5C">
        <w:rPr>
          <w:rFonts w:ascii="Bookman Old Style" w:eastAsia="Arial" w:hAnsi="Bookman Old Style" w:cs="Arial"/>
          <w:bCs/>
          <w:i/>
          <w:color w:val="000000"/>
          <w:sz w:val="22"/>
          <w:szCs w:val="22"/>
        </w:rPr>
        <w:t>And</w:t>
      </w:r>
      <w:proofErr w:type="gramEnd"/>
      <w:r w:rsidRPr="005D4E5C">
        <w:rPr>
          <w:rFonts w:ascii="Bookman Old Style" w:eastAsia="Arial" w:hAnsi="Bookman Old Style" w:cs="Arial"/>
          <w:bCs/>
          <w:i/>
          <w:color w:val="000000"/>
          <w:sz w:val="22"/>
          <w:szCs w:val="22"/>
        </w:rPr>
        <w:t xml:space="preserve"> in between on the misty flats, the rest drift to and fro.</w:t>
      </w:r>
    </w:p>
    <w:p w:rsidR="003A5080" w:rsidRPr="005D4E5C" w:rsidRDefault="003A5080" w:rsidP="003A5080">
      <w:pPr>
        <w:jc w:val="both"/>
        <w:rPr>
          <w:rFonts w:ascii="Bookman Old Style" w:eastAsia="Arial" w:hAnsi="Bookman Old Style" w:cs="Arial"/>
          <w:bCs/>
          <w:i/>
          <w:color w:val="000000"/>
          <w:sz w:val="22"/>
          <w:szCs w:val="22"/>
        </w:rPr>
      </w:pPr>
    </w:p>
    <w:p w:rsidR="003A5080" w:rsidRPr="005D4E5C" w:rsidRDefault="003A5080" w:rsidP="003A5080">
      <w:pPr>
        <w:jc w:val="both"/>
        <w:rPr>
          <w:rFonts w:ascii="Bookman Old Style" w:eastAsia="Arial" w:hAnsi="Bookman Old Style" w:cs="Arial"/>
          <w:bCs/>
          <w:i/>
          <w:color w:val="000000"/>
          <w:sz w:val="22"/>
          <w:szCs w:val="22"/>
        </w:rPr>
      </w:pPr>
      <w:r w:rsidRPr="005D4E5C">
        <w:rPr>
          <w:rFonts w:ascii="Bookman Old Style" w:eastAsia="Arial" w:hAnsi="Bookman Old Style" w:cs="Arial"/>
          <w:bCs/>
          <w:i/>
          <w:color w:val="000000"/>
          <w:sz w:val="22"/>
          <w:szCs w:val="22"/>
        </w:rPr>
        <w:t>“But to everyone there opens a way – a high way and a low way.  And everyone decides the way his soul shall go.”</w:t>
      </w:r>
    </w:p>
    <w:p w:rsidR="003A5080" w:rsidRDefault="003A5080" w:rsidP="003A5080">
      <w:pPr>
        <w:jc w:val="both"/>
        <w:rPr>
          <w:rFonts w:ascii="Bookman Old Style" w:eastAsia="Arial" w:hAnsi="Bookman Old Style" w:cs="Arial"/>
          <w:bCs/>
          <w:color w:val="000000"/>
          <w:sz w:val="22"/>
          <w:szCs w:val="22"/>
        </w:rPr>
      </w:pPr>
    </w:p>
    <w:p w:rsidR="008109DF" w:rsidRPr="00317883" w:rsidRDefault="003A5080" w:rsidP="00317883">
      <w:pPr>
        <w:jc w:val="both"/>
        <w:rPr>
          <w:rFonts w:ascii="Bookman Old Style" w:eastAsia="Arial" w:hAnsi="Bookman Old Style" w:cs="Arial"/>
          <w:bCs/>
          <w:color w:val="000000"/>
          <w:sz w:val="22"/>
          <w:szCs w:val="22"/>
        </w:rPr>
      </w:pPr>
      <w:r>
        <w:rPr>
          <w:rFonts w:ascii="Bookman Old Style" w:eastAsia="Arial" w:hAnsi="Bookman Old Style" w:cs="Arial"/>
          <w:bCs/>
          <w:color w:val="000000"/>
          <w:sz w:val="22"/>
          <w:szCs w:val="22"/>
        </w:rPr>
        <w:t xml:space="preserve">May the saints who have gone before us pray for each one of us here that we may have the courage to choose the high </w:t>
      </w:r>
      <w:proofErr w:type="gramStart"/>
      <w:r>
        <w:rPr>
          <w:rFonts w:ascii="Bookman Old Style" w:eastAsia="Arial" w:hAnsi="Bookman Old Style" w:cs="Arial"/>
          <w:bCs/>
          <w:color w:val="000000"/>
          <w:sz w:val="22"/>
          <w:szCs w:val="22"/>
        </w:rPr>
        <w:t>way.</w:t>
      </w:r>
      <w:proofErr w:type="gramEnd"/>
    </w:p>
    <w:sectPr w:rsidR="008109DF" w:rsidRPr="00317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80"/>
    <w:rsid w:val="00317883"/>
    <w:rsid w:val="003A5080"/>
    <w:rsid w:val="00805627"/>
    <w:rsid w:val="0081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0A88"/>
  <w15:chartTrackingRefBased/>
  <w15:docId w15:val="{38D5A4B8-DF3B-40D6-B38C-05C43394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8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Benedicto Marino</dc:creator>
  <cp:keywords/>
  <dc:description/>
  <cp:lastModifiedBy>saint pius</cp:lastModifiedBy>
  <cp:revision>3</cp:revision>
  <dcterms:created xsi:type="dcterms:W3CDTF">2020-09-18T17:28:00Z</dcterms:created>
  <dcterms:modified xsi:type="dcterms:W3CDTF">2020-09-18T17:31:00Z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-486794197</vt:i4>
  </property>
  <property fmtid="{D5CDD505-2E9C-101B-9397-08002B2CF9AE}" pid="3" name="_NewReviewCycle">
    <vt:lpwstr/>
  </property>
  <property fmtid="{D5CDD505-2E9C-101B-9397-08002B2CF9AE}" pid="4" name="_EmailSubject">
    <vt:lpwstr>Homilies</vt:lpwstr>
  </property>
  <property fmtid="{D5CDD505-2E9C-101B-9397-08002B2CF9AE}" pid="5" name="_AuthorEmail">
    <vt:lpwstr>office@stpiusx.ca</vt:lpwstr>
  </property>
  <property fmtid="{D5CDD505-2E9C-101B-9397-08002B2CF9AE}" pid="6" name="_AuthorEmailDisplayName">
    <vt:lpwstr>Parish Office</vt:lpwstr>
  </property>
</Properties>
</file>